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EBE" w:rsidRPr="00A142FC" w:rsidRDefault="00210EBE" w:rsidP="00BB5376">
      <w:pPr>
        <w:pStyle w:val="Heading110"/>
        <w:widowControl/>
        <w:shd w:val="clear" w:color="auto" w:fill="auto"/>
        <w:spacing w:after="360" w:line="264" w:lineRule="auto"/>
        <w:jc w:val="both"/>
        <w:rPr>
          <w:lang w:val="sl-SI"/>
        </w:rPr>
      </w:pPr>
      <w:bookmarkStart w:id="0" w:name="bookmark0"/>
      <w:r w:rsidRPr="00A142FC">
        <w:rPr>
          <w:lang w:val="sl-SI"/>
        </w:rPr>
        <w:t>Simulacija podnebnega ukrepanja: Zemljišča, kmetijstvo in gozdarstvo</w:t>
      </w:r>
      <w:bookmarkEnd w:id="0"/>
    </w:p>
    <w:p w:rsidR="00210EBE" w:rsidRPr="00210EBE" w:rsidRDefault="00210EBE" w:rsidP="00BB5376">
      <w:pPr>
        <w:pStyle w:val="Bodytext30"/>
        <w:widowControl/>
        <w:pBdr>
          <w:top w:val="single" w:sz="4" w:space="1" w:color="auto"/>
        </w:pBdr>
        <w:shd w:val="clear" w:color="auto" w:fill="auto"/>
        <w:tabs>
          <w:tab w:val="left" w:pos="1429"/>
        </w:tabs>
        <w:spacing w:before="0" w:after="120" w:line="264" w:lineRule="auto"/>
        <w:rPr>
          <w:lang w:val="sl-SI"/>
        </w:rPr>
      </w:pPr>
      <w:r w:rsidRPr="00210EBE">
        <w:rPr>
          <w:lang w:val="sl-SI"/>
        </w:rPr>
        <w:t>Naslovnik:</w:t>
      </w:r>
      <w:r w:rsidRPr="00210EBE">
        <w:rPr>
          <w:lang w:val="sl-SI"/>
        </w:rPr>
        <w:tab/>
        <w:t>Glavni pogajalci Zavezništva za zemljišča, kmetijstvo in gozdarstvo</w:t>
      </w:r>
    </w:p>
    <w:p w:rsidR="00210EBE" w:rsidRPr="00210EBE" w:rsidRDefault="00210EBE" w:rsidP="00BB5376">
      <w:pPr>
        <w:pStyle w:val="Bodytext30"/>
        <w:widowControl/>
        <w:shd w:val="clear" w:color="auto" w:fill="auto"/>
        <w:tabs>
          <w:tab w:val="left" w:pos="1429"/>
        </w:tabs>
        <w:spacing w:before="0" w:after="120" w:line="264" w:lineRule="auto"/>
        <w:rPr>
          <w:lang w:val="sl-SI"/>
        </w:rPr>
      </w:pPr>
      <w:r w:rsidRPr="00210EBE">
        <w:rPr>
          <w:lang w:val="sl-SI"/>
        </w:rPr>
        <w:t>Zadeva:</w:t>
      </w:r>
      <w:r w:rsidRPr="00210EBE">
        <w:rPr>
          <w:lang w:val="sl-SI"/>
        </w:rPr>
        <w:tab/>
        <w:t>Priprava na vrh o podnebnih ukrepih</w:t>
      </w:r>
    </w:p>
    <w:p w:rsidR="00210EBE" w:rsidRPr="00210EBE" w:rsidRDefault="00210EBE" w:rsidP="00BB5376">
      <w:pPr>
        <w:widowControl/>
        <w:spacing w:after="120" w:line="264" w:lineRule="auto"/>
        <w:jc w:val="both"/>
        <w:rPr>
          <w:sz w:val="22"/>
          <w:szCs w:val="22"/>
        </w:rPr>
      </w:pPr>
      <w:r w:rsidRPr="00210EBE">
        <w:rPr>
          <w:sz w:val="22"/>
          <w:szCs w:val="22"/>
        </w:rPr>
        <w:t xml:space="preserve">Dobrodošli na vrhu o podnebnih ukrepih. Generalni sekretar OZN vas je skupaj z voditelji vseh pomembnih deležnikov povabil k sodelovanju, da bi uspešno rešili vprašanje podnebnih sprememb. V vabilu je generalni sekretar </w:t>
      </w:r>
      <w:r w:rsidRPr="00210EBE">
        <w:rPr>
          <w:rStyle w:val="Bodytext20"/>
        </w:rPr>
        <w:t>zapisal</w:t>
      </w:r>
      <w:r w:rsidRPr="00210EBE">
        <w:rPr>
          <w:sz w:val="22"/>
          <w:szCs w:val="22"/>
        </w:rPr>
        <w:t>, da „je podnebna kriza tekma, ki jo izgubljamo, a hkrati tekma, ki jo lahko dobimo. [...] Najboljše znanstvene raziskave kažejo, da bo zvišanje temperature za več kot 1,5 °C povzročilo obsežno in nepopravljivo škodo ekosistemom, ki nas vzdržujejo. [...] A 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210EBE" w:rsidRPr="00210EBE" w:rsidRDefault="00210EBE" w:rsidP="00BB5376">
      <w:pPr>
        <w:widowControl/>
        <w:spacing w:after="120" w:line="264" w:lineRule="auto"/>
        <w:jc w:val="both"/>
        <w:rPr>
          <w:sz w:val="22"/>
          <w:szCs w:val="22"/>
        </w:rPr>
      </w:pPr>
      <w:r w:rsidRPr="00210EBE">
        <w:rPr>
          <w:sz w:val="22"/>
          <w:szCs w:val="22"/>
        </w:rPr>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Pr="00210EBE">
        <w:rPr>
          <w:rStyle w:val="Bodytext20"/>
        </w:rPr>
        <w:t>Znanstveni dokazi</w:t>
      </w:r>
      <w:r w:rsidRPr="00210EBE">
        <w:rPr>
          <w:sz w:val="22"/>
          <w:szCs w:val="22"/>
        </w:rPr>
        <w:t xml:space="preserve"> so jasni: segrevanje nad to mejo bo sprožilo katastrofalne in nepopravljive posledice, ki bodo ogrozile zdravje, blaginjo in življenje ljudi v vseh državah.</w:t>
      </w:r>
    </w:p>
    <w:p w:rsidR="00210EBE" w:rsidRPr="00210EBE" w:rsidRDefault="00210EBE" w:rsidP="00BB5376">
      <w:pPr>
        <w:widowControl/>
        <w:spacing w:after="120" w:line="264" w:lineRule="auto"/>
        <w:jc w:val="both"/>
        <w:rPr>
          <w:sz w:val="22"/>
          <w:szCs w:val="22"/>
        </w:rPr>
      </w:pPr>
      <w:r w:rsidRPr="00210EBE">
        <w:rPr>
          <w:sz w:val="22"/>
          <w:szCs w:val="22"/>
        </w:rPr>
        <w:t>V vaši skupini so predstavniki največjih kmetijskih in živilskih podjetij ter podjetij za sečnjo, največjih lastnikov zemljišč, ministrstev za gozdarstvo in kmetijstvo ter agencij za ohranjanje zemljišč. Vaša skupina se osredotoča na to, kako nahraniti ljudi po svetu, hkrati pa zaščititi gozdove in najti rešitve za podnebne spremembe.</w:t>
      </w:r>
    </w:p>
    <w:p w:rsidR="00210EBE" w:rsidRPr="00210EBE" w:rsidRDefault="00210EBE" w:rsidP="00BB5376">
      <w:pPr>
        <w:widowControl/>
        <w:spacing w:after="120" w:line="264" w:lineRule="auto"/>
        <w:jc w:val="both"/>
        <w:rPr>
          <w:sz w:val="22"/>
          <w:szCs w:val="22"/>
        </w:rPr>
      </w:pPr>
      <w:r w:rsidRPr="00210EBE">
        <w:rPr>
          <w:sz w:val="22"/>
          <w:szCs w:val="22"/>
        </w:rPr>
        <w:t>V nadaljevanju so naštete vaše prednostne politike – predlagate ali zavrnete lahko katero koli.</w:t>
      </w:r>
    </w:p>
    <w:p w:rsidR="00210EBE" w:rsidRPr="00BB5376" w:rsidRDefault="00210EBE" w:rsidP="00BB5376">
      <w:pPr>
        <w:widowControl/>
        <w:numPr>
          <w:ilvl w:val="0"/>
          <w:numId w:val="2"/>
        </w:numPr>
        <w:tabs>
          <w:tab w:val="left" w:pos="366"/>
        </w:tabs>
        <w:spacing w:after="120" w:line="264" w:lineRule="auto"/>
        <w:ind w:left="400" w:hanging="400"/>
        <w:jc w:val="both"/>
        <w:rPr>
          <w:sz w:val="22"/>
          <w:szCs w:val="22"/>
        </w:rPr>
      </w:pPr>
      <w:r w:rsidRPr="00BB5376">
        <w:rPr>
          <w:rStyle w:val="Bodytext2Bold"/>
          <w:rFonts w:eastAsia="Arial"/>
          <w:color w:val="auto"/>
        </w:rPr>
        <w:t xml:space="preserve">Obvladovati je treba krčenje gozdov. </w:t>
      </w:r>
      <w:r w:rsidRPr="00BB5376">
        <w:rPr>
          <w:color w:val="auto"/>
          <w:sz w:val="22"/>
          <w:szCs w:val="22"/>
        </w:rPr>
        <w:t xml:space="preserve">Krčenje gozdov trenutno povzroča približno 15 % emisij toplogrednih plinov. Z ohranjanjem gozdov lahko te emisije zmanjšamo, hkrati pa zavarujemo tudi biotsko raznovrstnost in oskrbo z vodo. Omejevanje krčenja gozdov pa zmanjšuje tudi potencialno uporabo teh zemljišč za sečnjo, proizvodnjo hrane, bioenergijo in druge zelo dobičkonosne možnosti njihove uporabe. </w:t>
      </w:r>
      <w:r w:rsidRPr="00BB5376">
        <w:rPr>
          <w:rStyle w:val="Bodytext20"/>
          <w:color w:val="auto"/>
          <w:u w:val="none"/>
        </w:rPr>
        <w:t>Krčenje gozdov povzročajo tako mali kmetje in podeželski prebivalci, ki potrebujejo les za gorivo, kot velika podjetja, ki gozdove krčijo za sečnjo in kmetijsko proizvodnjo – med drugim se tropski gozdovi spreminjajo v plantaže za pridobivanje palmovega olja ali za živinorejo in pridelavo poljščin.</w:t>
      </w:r>
    </w:p>
    <w:p w:rsidR="00210EBE" w:rsidRPr="00210EBE" w:rsidRDefault="00210EBE" w:rsidP="00BB5376">
      <w:pPr>
        <w:widowControl/>
        <w:numPr>
          <w:ilvl w:val="0"/>
          <w:numId w:val="2"/>
        </w:numPr>
        <w:tabs>
          <w:tab w:val="left" w:pos="366"/>
        </w:tabs>
        <w:spacing w:after="120" w:line="264" w:lineRule="auto"/>
        <w:ind w:left="400" w:hanging="400"/>
        <w:jc w:val="both"/>
        <w:rPr>
          <w:sz w:val="22"/>
          <w:szCs w:val="22"/>
        </w:rPr>
      </w:pPr>
      <w:r w:rsidRPr="00210EBE">
        <w:rPr>
          <w:rStyle w:val="Bodytext2Bold"/>
          <w:rFonts w:eastAsia="Arial"/>
        </w:rPr>
        <w:t xml:space="preserve">Razmisliti je treba o pogozdovanju. </w:t>
      </w:r>
      <w:r w:rsidRPr="00210EBE">
        <w:rPr>
          <w:sz w:val="22"/>
          <w:szCs w:val="22"/>
        </w:rPr>
        <w:t>Pogozdovanje pomeni rast novih gozdov na prej golih zemljiščih – včasih gre za zemljišča, kjer je bil gozd izkrčen, ali degradirana zemljišča. Ko gozd raste, iz ozračja potegne CO</w:t>
      </w:r>
      <w:r w:rsidRPr="00210EBE">
        <w:rPr>
          <w:sz w:val="22"/>
          <w:szCs w:val="22"/>
          <w:vertAlign w:val="subscript"/>
        </w:rPr>
        <w:t>2</w:t>
      </w:r>
      <w:r w:rsidRPr="00210EBE">
        <w:rPr>
          <w:sz w:val="22"/>
          <w:szCs w:val="22"/>
        </w:rPr>
        <w:t xml:space="preserve"> in ga shrani v biomaso in tla. Gozdovi pomagajo ohranjati habitate in biotsko raznovrstnost, upočasnjujejo erozijo in degradacijo zemljišč ter ščitijo pred poplavami. Če se pogozdovanje opravi v velikem obsegu, to lahko pomeni, da se uporabijo zemljišča, ki bi jih potrebovali za pridelavo poljščin ali živinorejo, zaradi večje konkurence za zemljišča pa se lahko zvišajo cene živil. Pri vsaki politiki pogozdovanja pomislite, kakšna zemljišča so potrebna.</w:t>
      </w:r>
    </w:p>
    <w:p w:rsidR="00210EBE" w:rsidRPr="00210EBE" w:rsidRDefault="00210EBE" w:rsidP="00BB5376">
      <w:pPr>
        <w:widowControl/>
        <w:numPr>
          <w:ilvl w:val="0"/>
          <w:numId w:val="2"/>
        </w:numPr>
        <w:tabs>
          <w:tab w:val="left" w:pos="366"/>
        </w:tabs>
        <w:spacing w:line="264" w:lineRule="auto"/>
        <w:ind w:left="400" w:hanging="400"/>
        <w:jc w:val="both"/>
        <w:rPr>
          <w:sz w:val="22"/>
          <w:szCs w:val="22"/>
        </w:rPr>
      </w:pPr>
      <w:r w:rsidRPr="00210EBE">
        <w:rPr>
          <w:b/>
          <w:sz w:val="22"/>
          <w:szCs w:val="22"/>
        </w:rPr>
        <w:t>Razmisliti je treba o emisijah metana, dušikovega oksida in drugih toplogrednih plinov.</w:t>
      </w:r>
    </w:p>
    <w:p w:rsidR="00210EBE" w:rsidRPr="00210EBE" w:rsidRDefault="00210EBE" w:rsidP="00BB5376">
      <w:pPr>
        <w:widowControl/>
        <w:spacing w:after="120" w:line="264" w:lineRule="auto"/>
        <w:ind w:left="400"/>
        <w:jc w:val="both"/>
        <w:rPr>
          <w:sz w:val="22"/>
          <w:szCs w:val="22"/>
        </w:rPr>
      </w:pPr>
      <w:r w:rsidRPr="00210EBE">
        <w:rPr>
          <w:bCs/>
          <w:sz w:val="22"/>
          <w:szCs w:val="22"/>
        </w:rPr>
        <w:t>CO</w:t>
      </w:r>
      <w:r w:rsidRPr="00210EBE">
        <w:rPr>
          <w:bCs/>
          <w:sz w:val="22"/>
          <w:szCs w:val="22"/>
          <w:vertAlign w:val="subscript"/>
        </w:rPr>
        <w:t>2</w:t>
      </w:r>
      <w:r w:rsidRPr="00210EBE">
        <w:rPr>
          <w:sz w:val="22"/>
          <w:szCs w:val="22"/>
        </w:rPr>
        <w:t xml:space="preserve"> je najpomembnejši toplogredni plin, a tudi drugi toplogredni plini, zlasti metan (CH</w:t>
      </w:r>
      <w:r w:rsidRPr="00210EBE">
        <w:rPr>
          <w:sz w:val="22"/>
          <w:szCs w:val="22"/>
          <w:vertAlign w:val="subscript"/>
        </w:rPr>
        <w:t>4</w:t>
      </w:r>
      <w:r w:rsidRPr="00210EBE">
        <w:rPr>
          <w:sz w:val="22"/>
          <w:szCs w:val="22"/>
        </w:rPr>
        <w:t>) in dušikov oksid (N</w:t>
      </w:r>
      <w:r w:rsidRPr="00210EBE">
        <w:rPr>
          <w:sz w:val="22"/>
          <w:szCs w:val="22"/>
          <w:vertAlign w:val="subscript"/>
        </w:rPr>
        <w:t>2</w:t>
      </w:r>
      <w:r w:rsidRPr="00210EBE">
        <w:rPr>
          <w:sz w:val="22"/>
          <w:szCs w:val="22"/>
        </w:rPr>
        <w:t>O), danes povzročajo približno četrtino segrevanja planeta in njihova koncentracija v ozračju narašča. Molekula CH</w:t>
      </w:r>
      <w:r w:rsidRPr="00210EBE">
        <w:rPr>
          <w:sz w:val="22"/>
          <w:szCs w:val="22"/>
          <w:vertAlign w:val="subscript"/>
        </w:rPr>
        <w:t>4</w:t>
      </w:r>
      <w:r w:rsidRPr="00210EBE">
        <w:rPr>
          <w:sz w:val="22"/>
          <w:szCs w:val="22"/>
        </w:rPr>
        <w:t xml:space="preserve"> v sto letih prispeva približno 25-krat več k segrevanju planeta kot molekula CO</w:t>
      </w:r>
      <w:r w:rsidRPr="00210EBE">
        <w:rPr>
          <w:sz w:val="22"/>
          <w:szCs w:val="22"/>
          <w:vertAlign w:val="subscript"/>
        </w:rPr>
        <w:t>2</w:t>
      </w:r>
      <w:r w:rsidRPr="00210EBE">
        <w:rPr>
          <w:sz w:val="22"/>
          <w:szCs w:val="22"/>
        </w:rPr>
        <w:t>; N</w:t>
      </w:r>
      <w:r w:rsidRPr="00210EBE">
        <w:rPr>
          <w:sz w:val="22"/>
          <w:szCs w:val="22"/>
          <w:vertAlign w:val="subscript"/>
        </w:rPr>
        <w:t>2</w:t>
      </w:r>
      <w:r w:rsidRPr="00210EBE">
        <w:rPr>
          <w:sz w:val="22"/>
          <w:szCs w:val="22"/>
        </w:rPr>
        <w:t>O prispeva skoraj 300-krat več kot CO</w:t>
      </w:r>
      <w:r w:rsidRPr="00210EBE">
        <w:rPr>
          <w:sz w:val="22"/>
          <w:szCs w:val="22"/>
          <w:vertAlign w:val="subscript"/>
        </w:rPr>
        <w:t>2</w:t>
      </w:r>
      <w:r w:rsidRPr="00210EBE">
        <w:rPr>
          <w:sz w:val="22"/>
          <w:szCs w:val="22"/>
        </w:rPr>
        <w:t>. Veliki viri emisij CH</w:t>
      </w:r>
      <w:r w:rsidRPr="00210EBE">
        <w:rPr>
          <w:sz w:val="22"/>
          <w:szCs w:val="22"/>
          <w:vertAlign w:val="subscript"/>
        </w:rPr>
        <w:t>4</w:t>
      </w:r>
      <w:r w:rsidRPr="00210EBE">
        <w:rPr>
          <w:sz w:val="22"/>
          <w:szCs w:val="22"/>
        </w:rPr>
        <w:t xml:space="preserve"> so sedanje kmetijske in živinorejske prakse, N</w:t>
      </w:r>
      <w:r w:rsidRPr="00210EBE">
        <w:rPr>
          <w:sz w:val="22"/>
          <w:szCs w:val="22"/>
          <w:vertAlign w:val="subscript"/>
        </w:rPr>
        <w:t>2</w:t>
      </w:r>
      <w:r w:rsidRPr="00210EBE">
        <w:rPr>
          <w:sz w:val="22"/>
          <w:szCs w:val="22"/>
        </w:rPr>
        <w:t xml:space="preserve">O pa nastaja predvsem zaradi uporabe gnojil. </w:t>
      </w:r>
      <w:r w:rsidRPr="00210EBE">
        <w:rPr>
          <w:sz w:val="22"/>
          <w:szCs w:val="22"/>
        </w:rPr>
        <w:lastRenderedPageBreak/>
        <w:t>Z inovativnimi tehnologijami in praksami bi lahko te emisije poceni zmanjšali, številni okoljevarstveniki pa se zavzemajo tudi za predpise (npr. za omejevanje rabe gnojil) ali spremembe načina življenja ljudi (npr. zmanjšanje porabe mesa in odpadne hrane), ki bi lahko omejili dobičkonosnost kmetijske in živinorejske industrije. Teh politik ne želite podpreti, čeprav bi morda z njimi občutno zmanjšali emisije. K segrevanju prispevajo tudi številni fluorirani ogljikovodiki in povezane spojine (fluorirani plini), ki se uporabljajo v industrijskih procesih in potrošniških proizvodih (npr. hladilna sredstva in topila). Današnje koncentracije so nizke, številni fluorirani plini pa k segrevanju prispevajo tisočkrat več kot CO</w:t>
      </w:r>
      <w:r w:rsidRPr="00210EBE">
        <w:rPr>
          <w:sz w:val="22"/>
          <w:szCs w:val="22"/>
          <w:vertAlign w:val="subscript"/>
        </w:rPr>
        <w:t>2</w:t>
      </w:r>
      <w:r w:rsidRPr="00210EBE">
        <w:rPr>
          <w:sz w:val="22"/>
          <w:szCs w:val="22"/>
        </w:rPr>
        <w:t>. Politike za njihovo zmanjšanje lahko podprete, saj to na vas ne bi imelo veliko vpliva.</w:t>
      </w:r>
    </w:p>
    <w:p w:rsidR="00210EBE" w:rsidRPr="00BB5376" w:rsidRDefault="00210EBE" w:rsidP="00BB5376">
      <w:pPr>
        <w:widowControl/>
        <w:numPr>
          <w:ilvl w:val="0"/>
          <w:numId w:val="2"/>
        </w:numPr>
        <w:tabs>
          <w:tab w:val="left" w:pos="366"/>
        </w:tabs>
        <w:spacing w:after="120" w:line="264" w:lineRule="auto"/>
        <w:ind w:left="400" w:hanging="400"/>
        <w:jc w:val="both"/>
        <w:rPr>
          <w:sz w:val="22"/>
          <w:szCs w:val="22"/>
        </w:rPr>
      </w:pPr>
      <w:r w:rsidRPr="00BB5376">
        <w:rPr>
          <w:rStyle w:val="Bodytext2Bold"/>
          <w:rFonts w:eastAsia="Arial"/>
          <w:color w:val="auto"/>
        </w:rPr>
        <w:t xml:space="preserve">Podpreti je treba subvencije za energijo iz obnovljivih virov. </w:t>
      </w:r>
      <w:r w:rsidRPr="00BB5376">
        <w:rPr>
          <w:color w:val="auto"/>
          <w:sz w:val="22"/>
          <w:szCs w:val="22"/>
        </w:rPr>
        <w:t xml:space="preserve">K spreminjanju podnebja največ prispevajo emisije fosilnih goriv, ne pa raba zemljišč. Podpirate zamenjavo fosilnih goriv s cenovno dostopno čisto energijo, s katero bi poganjali svoje naprave in prevažali živila. </w:t>
      </w:r>
      <w:r w:rsidRPr="00BB5376">
        <w:rPr>
          <w:rStyle w:val="Bodytext20"/>
          <w:color w:val="auto"/>
          <w:u w:val="none"/>
        </w:rPr>
        <w:t xml:space="preserve">Živinorejci in lastniki zemljišč lahko namestijo sončne in vetrne turbine, hkrati pa večino svojih zemljišč še vedno uporabljajo za poljščine in živino, zato podpirate subvencije za tehnologije za čisto energijo. </w:t>
      </w:r>
      <w:r w:rsidRPr="00BB5376">
        <w:rPr>
          <w:color w:val="auto"/>
          <w:sz w:val="22"/>
          <w:szCs w:val="22"/>
        </w:rPr>
        <w:t>Velika podjetja za sečnjo in velika kmetijska podjetja nasprotujejo politikam, kot je cena ogljika za fosilna goriva, saj bi se s tem zvišali stroški poslovanja, skupine za ohranjanje zemljišč pa jih podpirajo, da bi se pospešilo zmanjševanje emisij CO</w:t>
      </w:r>
      <w:r w:rsidRPr="00BB5376">
        <w:rPr>
          <w:color w:val="auto"/>
          <w:sz w:val="22"/>
          <w:szCs w:val="22"/>
          <w:vertAlign w:val="subscript"/>
        </w:rPr>
        <w:t>2</w:t>
      </w:r>
      <w:r w:rsidRPr="00BB5376">
        <w:rPr>
          <w:color w:val="auto"/>
          <w:sz w:val="22"/>
          <w:szCs w:val="22"/>
        </w:rPr>
        <w:t>.</w:t>
      </w:r>
    </w:p>
    <w:p w:rsidR="00210EBE" w:rsidRPr="00210EBE" w:rsidRDefault="00210EBE" w:rsidP="00BB5376">
      <w:pPr>
        <w:pStyle w:val="Bodytext50"/>
        <w:widowControl/>
        <w:shd w:val="clear" w:color="auto" w:fill="auto"/>
        <w:spacing w:before="0" w:line="264" w:lineRule="auto"/>
        <w:rPr>
          <w:lang w:val="sl-SI"/>
        </w:rPr>
      </w:pPr>
      <w:r w:rsidRPr="00210EBE">
        <w:rPr>
          <w:lang w:val="sl-SI"/>
        </w:rPr>
        <w:t>Dodatni poudarki</w:t>
      </w:r>
    </w:p>
    <w:p w:rsidR="00210EBE" w:rsidRPr="00210EBE" w:rsidRDefault="00210EBE" w:rsidP="00BB5376">
      <w:pPr>
        <w:widowControl/>
        <w:spacing w:after="120" w:line="264" w:lineRule="auto"/>
        <w:jc w:val="both"/>
        <w:rPr>
          <w:sz w:val="22"/>
          <w:szCs w:val="22"/>
        </w:rPr>
      </w:pPr>
      <w:r w:rsidRPr="00210EBE">
        <w:rPr>
          <w:sz w:val="22"/>
          <w:szCs w:val="22"/>
        </w:rPr>
        <w:t>Na svetu zdaj živi 7,7 milijarde ljudi in OZN ocenjuje, da bo število prebivalcev do leta 2050 preseglo 9 milijard, do leta 2100 pa jih bo skoraj 11 milijard. Z naraščanjem prebivalstva in višanjem prihodkov se veča tudi povpraševanje po poljščinah, mesu, lesu, vlaknih in drugih proizvodih, za katere je potrebnih veliko zemljišč. Danes približno milijarda ljudi nima dovolj hrane, kar v številnih državah pomeni podhranjenost in lakoto. In vendar se po ocenah Organizacije Združenih narodov za prehrano in kmetijstvo kar 30 % svetovne proizvodnje hrane zavrže, s tem pa ustvari za 8 % emisij toplogrednih plinov na svetu.</w:t>
      </w:r>
    </w:p>
    <w:p w:rsidR="00210EBE" w:rsidRPr="00210EBE" w:rsidRDefault="00210EBE" w:rsidP="00BB5376">
      <w:pPr>
        <w:widowControl/>
        <w:spacing w:after="120" w:line="264" w:lineRule="auto"/>
        <w:jc w:val="both"/>
        <w:rPr>
          <w:sz w:val="22"/>
          <w:szCs w:val="22"/>
        </w:rPr>
      </w:pPr>
      <w:r w:rsidRPr="00210EBE">
        <w:rPr>
          <w:sz w:val="22"/>
          <w:szCs w:val="22"/>
        </w:rPr>
        <w:t>Z zmanjšanjem odpadne hrane, povečanjem pridelka in spodbujanjem zdrave prehrane brez mesa bi lahko pokrili naraščajoče povpraševanje po hrani, ne da bi bila za to potrebna dodatna zemljišča. Hkrati bi se v kmetijstvu zmanjšale emisije toplogrednih plinov. Možnosti vaše panoge za ukrepanje, preden se zaradi teh politik zvišajo cene hrane, pa niso neomejene. Zaradi visokih stroškov hrane bodo morda brez nje ostali ravno tisti, ki jo najbolj potrebujejo. Spodbujanje vegetarijanskega prehranjevanja bo tudi finančni udarec za veliko in rastočo panogo živinoreje.</w:t>
      </w:r>
      <w:bookmarkStart w:id="1" w:name="_GoBack"/>
      <w:bookmarkEnd w:id="1"/>
    </w:p>
    <w:p w:rsidR="00210EBE" w:rsidRPr="00210EBE" w:rsidRDefault="00210EBE" w:rsidP="00BB5376">
      <w:pPr>
        <w:widowControl/>
        <w:spacing w:after="120" w:line="264" w:lineRule="auto"/>
        <w:jc w:val="both"/>
        <w:rPr>
          <w:sz w:val="22"/>
          <w:szCs w:val="22"/>
        </w:rPr>
      </w:pPr>
      <w:r w:rsidRPr="00210EBE">
        <w:rPr>
          <w:sz w:val="22"/>
          <w:szCs w:val="22"/>
        </w:rPr>
        <w:t>V velikem delu sveta bo težko spremeniti rabo zemljišč in kmetijske metode. V številnih državah v razvoju so potencialne koristi kmetijstva, ki upošteva podnebje, velike, zaradi korupcije in pomanjkanja nadzora pa je izvajanje politik za rabo zemljišč težavno. Pretekla prizadevanja za zmanjšanje krčenja gozdov, zlasti v Braziliji in Indoneziji, so bila le delno uspešna. Nezakonito krčenje gozdov ostaja velik problem. Nekatere vlade dejavno subvencionirajo krčenje gozdov za spodbujanje sečnje in kmetijske proizvodnje ter zato, da bi ljudje dobili zemljišča.</w:t>
      </w:r>
    </w:p>
    <w:p w:rsidR="00210EBE" w:rsidRPr="00210EBE" w:rsidRDefault="00210EBE" w:rsidP="00BB5376">
      <w:pPr>
        <w:widowControl/>
        <w:suppressAutoHyphens/>
        <w:spacing w:line="264" w:lineRule="auto"/>
        <w:jc w:val="both"/>
        <w:rPr>
          <w:sz w:val="22"/>
          <w:szCs w:val="22"/>
        </w:rPr>
      </w:pPr>
      <w:r w:rsidRPr="00210EBE">
        <w:rPr>
          <w:sz w:val="22"/>
          <w:szCs w:val="22"/>
        </w:rPr>
        <w:t>Kljub tem izzivom so podnebne spremembe ena največjih nevarnosti za člane vaše skupine. Vse hujše poplave, suše, vročinski valovi in požari v naravi ter zviševanje morske gladine že uničujejo orna zemljišča, zmanjšujejo pridelek, pustošijo po gozdovih in škodijo dobičku. Posledice podnebnih sprememb in geopolitične selitve, ki jih povzročajo, resno ogrožajo vaše premoženje, delovno silo, dobavne verige, potrošnike in dobičkonosnost. Čeprav bodo spremembe težavne, nekateri pa bodo imeli tudi finančno škodo, lahko vaše zavezništvo prispeva k iskanju rešitve, tako da zmanjša emisije z boljšim upravljanjem zemljišč in boljšimi kmetijskimi praksami.</w:t>
      </w:r>
    </w:p>
    <w:p w:rsidR="00210EBE" w:rsidRPr="00210EBE" w:rsidRDefault="00210EBE" w:rsidP="00BB5376">
      <w:pPr>
        <w:widowControl/>
        <w:suppressAutoHyphens/>
        <w:spacing w:line="264" w:lineRule="auto"/>
        <w:jc w:val="both"/>
        <w:rPr>
          <w:sz w:val="22"/>
          <w:szCs w:val="22"/>
        </w:rPr>
      </w:pPr>
    </w:p>
    <w:p w:rsidR="00210EBE" w:rsidRPr="00210EBE" w:rsidRDefault="00210EBE" w:rsidP="00BB5376">
      <w:pPr>
        <w:widowControl/>
        <w:suppressAutoHyphens/>
        <w:overflowPunct w:val="0"/>
        <w:autoSpaceDE w:val="0"/>
        <w:autoSpaceDN w:val="0"/>
        <w:adjustRightInd w:val="0"/>
        <w:spacing w:line="264" w:lineRule="auto"/>
        <w:jc w:val="center"/>
        <w:textAlignment w:val="baseline"/>
        <w:rPr>
          <w:sz w:val="22"/>
          <w:szCs w:val="22"/>
        </w:rPr>
      </w:pPr>
      <w:r w:rsidRPr="00210EBE">
        <w:rPr>
          <w:sz w:val="22"/>
          <w:szCs w:val="22"/>
        </w:rPr>
        <w:t>_____________</w:t>
      </w:r>
    </w:p>
    <w:p w:rsidR="00474E33" w:rsidRPr="00210EBE" w:rsidRDefault="00474E33" w:rsidP="00BB5376">
      <w:pPr>
        <w:spacing w:line="264" w:lineRule="auto"/>
        <w:rPr>
          <w:sz w:val="22"/>
          <w:szCs w:val="22"/>
        </w:rPr>
      </w:pPr>
    </w:p>
    <w:sectPr w:rsidR="00474E33" w:rsidRPr="00210EBE"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EBE" w:rsidRDefault="00210EBE">
      <w:r>
        <w:separator/>
      </w:r>
    </w:p>
  </w:endnote>
  <w:endnote w:type="continuationSeparator" w:id="0">
    <w:p w:rsidR="00210EBE" w:rsidRDefault="00210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4B6392"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Razvili: Climate Interactive, MIT Sloan School of Management Sustainability Initiative, ESB Business School in UMass Lowell Climate Change Initiative. Zadnja posodobitev: september 2019. </w:t>
    </w:r>
    <w:hyperlink r:id="rId1" w:history="1">
      <w:r>
        <w:rPr>
          <w:rFonts w:ascii="Times New Roman" w:hAnsi="Times New Roman"/>
          <w:sz w:val="20"/>
          <w:szCs w:val="20"/>
        </w:rPr>
        <w:t>www.</w:t>
      </w:r>
      <w:r>
        <w:rPr>
          <w:rFonts w:ascii="Times New Roman" w:hAnsi="Times New Roman"/>
          <w:sz w:val="20"/>
          <w:szCs w:val="20"/>
        </w:rPr>
        <w:t>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EBE" w:rsidRDefault="00210EBE">
      <w:r>
        <w:separator/>
      </w:r>
    </w:p>
  </w:footnote>
  <w:footnote w:type="continuationSeparator" w:id="0">
    <w:p w:rsidR="00210EBE" w:rsidRDefault="00210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8825648"/>
    <w:multiLevelType w:val="multilevel"/>
    <w:tmpl w:val="F3164FB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BE"/>
    <w:rsid w:val="00005DE0"/>
    <w:rsid w:val="00210EBE"/>
    <w:rsid w:val="00474E33"/>
    <w:rsid w:val="004B6392"/>
    <w:rsid w:val="00525110"/>
    <w:rsid w:val="00815995"/>
    <w:rsid w:val="008B2610"/>
    <w:rsid w:val="009441C7"/>
    <w:rsid w:val="009A6695"/>
    <w:rsid w:val="00BB5376"/>
    <w:rsid w:val="00BE33B4"/>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6847854-F2A2-4EFC-B7D5-AB1B78E340B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10EBE"/>
    <w:pPr>
      <w:widowControl w:val="0"/>
      <w:spacing w:line="240" w:lineRule="auto"/>
      <w:jc w:val="left"/>
    </w:pPr>
    <w:rPr>
      <w:color w:val="000000"/>
      <w:sz w:val="24"/>
      <w:szCs w:val="24"/>
      <w:lang w:val="sl-SI" w:bidi="en-US"/>
    </w:rPr>
  </w:style>
  <w:style w:type="paragraph" w:styleId="Heading1">
    <w:name w:val="heading 1"/>
    <w:basedOn w:val="Normal"/>
    <w:next w:val="Normal"/>
    <w:qFormat/>
    <w:rsid w:val="00210EBE"/>
    <w:pPr>
      <w:numPr>
        <w:numId w:val="1"/>
      </w:numPr>
      <w:ind w:left="567" w:hanging="567"/>
      <w:outlineLvl w:val="0"/>
    </w:pPr>
    <w:rPr>
      <w:kern w:val="28"/>
    </w:rPr>
  </w:style>
  <w:style w:type="paragraph" w:styleId="Heading2">
    <w:name w:val="heading 2"/>
    <w:basedOn w:val="Normal"/>
    <w:next w:val="Normal"/>
    <w:qFormat/>
    <w:rsid w:val="00210EBE"/>
    <w:pPr>
      <w:numPr>
        <w:ilvl w:val="1"/>
        <w:numId w:val="1"/>
      </w:numPr>
      <w:ind w:left="567" w:hanging="567"/>
      <w:outlineLvl w:val="1"/>
    </w:pPr>
  </w:style>
  <w:style w:type="paragraph" w:styleId="Heading3">
    <w:name w:val="heading 3"/>
    <w:basedOn w:val="Normal"/>
    <w:next w:val="Normal"/>
    <w:qFormat/>
    <w:rsid w:val="00210EBE"/>
    <w:pPr>
      <w:numPr>
        <w:ilvl w:val="2"/>
        <w:numId w:val="1"/>
      </w:numPr>
      <w:ind w:left="567" w:hanging="567"/>
      <w:outlineLvl w:val="2"/>
    </w:pPr>
  </w:style>
  <w:style w:type="paragraph" w:styleId="Heading4">
    <w:name w:val="heading 4"/>
    <w:basedOn w:val="Normal"/>
    <w:next w:val="Normal"/>
    <w:qFormat/>
    <w:rsid w:val="00210EBE"/>
    <w:pPr>
      <w:numPr>
        <w:ilvl w:val="3"/>
        <w:numId w:val="1"/>
      </w:numPr>
      <w:ind w:left="567" w:hanging="567"/>
      <w:outlineLvl w:val="3"/>
    </w:pPr>
  </w:style>
  <w:style w:type="paragraph" w:styleId="Heading5">
    <w:name w:val="heading 5"/>
    <w:basedOn w:val="Normal"/>
    <w:next w:val="Normal"/>
    <w:qFormat/>
    <w:rsid w:val="00210EBE"/>
    <w:pPr>
      <w:numPr>
        <w:ilvl w:val="4"/>
        <w:numId w:val="1"/>
      </w:numPr>
      <w:ind w:left="567" w:hanging="567"/>
      <w:outlineLvl w:val="4"/>
    </w:pPr>
  </w:style>
  <w:style w:type="paragraph" w:styleId="Heading6">
    <w:name w:val="heading 6"/>
    <w:basedOn w:val="Normal"/>
    <w:next w:val="Normal"/>
    <w:qFormat/>
    <w:rsid w:val="00210EBE"/>
    <w:pPr>
      <w:numPr>
        <w:ilvl w:val="5"/>
        <w:numId w:val="1"/>
      </w:numPr>
      <w:ind w:left="567" w:hanging="567"/>
      <w:outlineLvl w:val="5"/>
    </w:pPr>
  </w:style>
  <w:style w:type="paragraph" w:styleId="Heading7">
    <w:name w:val="heading 7"/>
    <w:basedOn w:val="Normal"/>
    <w:next w:val="Normal"/>
    <w:qFormat/>
    <w:rsid w:val="00210EBE"/>
    <w:pPr>
      <w:numPr>
        <w:ilvl w:val="6"/>
        <w:numId w:val="1"/>
      </w:numPr>
      <w:ind w:left="567" w:hanging="567"/>
      <w:outlineLvl w:val="6"/>
    </w:pPr>
  </w:style>
  <w:style w:type="paragraph" w:styleId="Heading8">
    <w:name w:val="heading 8"/>
    <w:basedOn w:val="Normal"/>
    <w:next w:val="Normal"/>
    <w:qFormat/>
    <w:rsid w:val="00210EBE"/>
    <w:pPr>
      <w:numPr>
        <w:ilvl w:val="7"/>
        <w:numId w:val="1"/>
      </w:numPr>
      <w:ind w:left="567" w:hanging="567"/>
      <w:outlineLvl w:val="7"/>
    </w:pPr>
  </w:style>
  <w:style w:type="paragraph" w:styleId="Heading9">
    <w:name w:val="heading 9"/>
    <w:basedOn w:val="Normal"/>
    <w:next w:val="Normal"/>
    <w:qFormat/>
    <w:rsid w:val="00210EBE"/>
    <w:pPr>
      <w:numPr>
        <w:ilvl w:val="8"/>
        <w:numId w:val="1"/>
      </w:numPr>
      <w:ind w:left="567" w:hanging="567"/>
      <w:outlineLvl w:val="8"/>
    </w:pPr>
  </w:style>
  <w:style w:type="character" w:default="1" w:styleId="DefaultParagraphFont">
    <w:name w:val="Default Paragraph Font"/>
    <w:uiPriority w:val="1"/>
    <w:semiHidden/>
    <w:unhideWhenUsed/>
    <w:rsid w:val="00210E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0EBE"/>
  </w:style>
  <w:style w:type="paragraph" w:styleId="Footer">
    <w:name w:val="footer"/>
    <w:basedOn w:val="Normal"/>
    <w:qFormat/>
    <w:rsid w:val="00210EBE"/>
  </w:style>
  <w:style w:type="paragraph" w:styleId="FootnoteText">
    <w:name w:val="footnote text"/>
    <w:basedOn w:val="Normal"/>
    <w:qFormat/>
    <w:rsid w:val="00210EBE"/>
    <w:pPr>
      <w:keepLines/>
      <w:spacing w:after="60"/>
      <w:ind w:left="567" w:hanging="567"/>
    </w:pPr>
    <w:rPr>
      <w:sz w:val="16"/>
    </w:rPr>
  </w:style>
  <w:style w:type="paragraph" w:styleId="Header">
    <w:name w:val="header"/>
    <w:basedOn w:val="Normal"/>
    <w:qFormat/>
    <w:rsid w:val="00210EBE"/>
  </w:style>
  <w:style w:type="paragraph" w:customStyle="1" w:styleId="quotes">
    <w:name w:val="quotes"/>
    <w:basedOn w:val="Normal"/>
    <w:next w:val="Normal"/>
    <w:rsid w:val="00210EBE"/>
    <w:pPr>
      <w:ind w:left="720"/>
    </w:pPr>
    <w:rPr>
      <w:i/>
    </w:rPr>
  </w:style>
  <w:style w:type="character" w:styleId="FootnoteReference">
    <w:name w:val="footnote reference"/>
    <w:basedOn w:val="DefaultParagraphFont"/>
    <w:unhideWhenUsed/>
    <w:qFormat/>
    <w:rsid w:val="00210EBE"/>
    <w:rPr>
      <w:sz w:val="24"/>
      <w:vertAlign w:val="superscript"/>
    </w:rPr>
  </w:style>
  <w:style w:type="character" w:customStyle="1" w:styleId="Heading11">
    <w:name w:val="Heading #1|1_"/>
    <w:basedOn w:val="DefaultParagraphFont"/>
    <w:link w:val="Heading110"/>
    <w:rsid w:val="00210EBE"/>
    <w:rPr>
      <w:rFonts w:ascii="Arial" w:eastAsia="Arial" w:hAnsi="Arial" w:cs="Arial"/>
      <w:b/>
      <w:bCs/>
      <w:sz w:val="36"/>
      <w:szCs w:val="36"/>
      <w:shd w:val="clear" w:color="auto" w:fill="FFFFFF"/>
    </w:rPr>
  </w:style>
  <w:style w:type="character" w:customStyle="1" w:styleId="Bodytext3">
    <w:name w:val="Body text|3_"/>
    <w:basedOn w:val="DefaultParagraphFont"/>
    <w:link w:val="Bodytext30"/>
    <w:rsid w:val="00210EBE"/>
    <w:rPr>
      <w:b/>
      <w:bCs/>
      <w:shd w:val="clear" w:color="auto" w:fill="FFFFFF"/>
    </w:rPr>
  </w:style>
  <w:style w:type="character" w:customStyle="1" w:styleId="Bodytext2">
    <w:name w:val="Body text|2_"/>
    <w:basedOn w:val="DefaultParagraphFont"/>
    <w:rsid w:val="00210EBE"/>
    <w:rPr>
      <w:b w:val="0"/>
      <w:bCs w:val="0"/>
      <w:i w:val="0"/>
      <w:iCs w:val="0"/>
      <w:smallCaps w:val="0"/>
      <w:strike w:val="0"/>
      <w:sz w:val="22"/>
      <w:szCs w:val="22"/>
      <w:u w:val="none"/>
    </w:rPr>
  </w:style>
  <w:style w:type="character" w:customStyle="1" w:styleId="Bodytext20">
    <w:name w:val="Body text|2"/>
    <w:basedOn w:val="Bodytext2"/>
    <w:semiHidden/>
    <w:unhideWhenUsed/>
    <w:rsid w:val="00210EBE"/>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l-SI" w:eastAsia="en-US" w:bidi="en-US"/>
    </w:rPr>
  </w:style>
  <w:style w:type="character" w:customStyle="1" w:styleId="Bodytext2Bold">
    <w:name w:val="Body text|2 + Bold"/>
    <w:basedOn w:val="Bodytext2"/>
    <w:semiHidden/>
    <w:unhideWhenUsed/>
    <w:rsid w:val="00210EBE"/>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character" w:customStyle="1" w:styleId="Bodytext4">
    <w:name w:val="Body text|4_"/>
    <w:basedOn w:val="DefaultParagraphFont"/>
    <w:link w:val="Bodytext40"/>
    <w:rsid w:val="00210EBE"/>
    <w:rPr>
      <w:rFonts w:ascii="Arial" w:eastAsia="Arial" w:hAnsi="Arial" w:cs="Arial"/>
      <w:i/>
      <w:iCs/>
      <w:sz w:val="18"/>
      <w:szCs w:val="18"/>
      <w:shd w:val="clear" w:color="auto" w:fill="FFFFFF"/>
    </w:rPr>
  </w:style>
  <w:style w:type="character" w:customStyle="1" w:styleId="Bodytext5">
    <w:name w:val="Body text|5_"/>
    <w:basedOn w:val="DefaultParagraphFont"/>
    <w:link w:val="Bodytext50"/>
    <w:rsid w:val="00210EBE"/>
    <w:rPr>
      <w:b/>
      <w:bCs/>
      <w:shd w:val="clear" w:color="auto" w:fill="FFFFFF"/>
    </w:rPr>
  </w:style>
  <w:style w:type="paragraph" w:customStyle="1" w:styleId="Heading110">
    <w:name w:val="Heading #1|1"/>
    <w:basedOn w:val="Normal"/>
    <w:link w:val="Heading11"/>
    <w:qFormat/>
    <w:rsid w:val="00210EBE"/>
    <w:pPr>
      <w:shd w:val="clear" w:color="auto" w:fill="FFFFFF"/>
      <w:spacing w:after="1260" w:line="402" w:lineRule="exact"/>
      <w:outlineLvl w:val="0"/>
    </w:pPr>
    <w:rPr>
      <w:rFonts w:ascii="Arial" w:eastAsia="Arial" w:hAnsi="Arial" w:cs="Arial"/>
      <w:b/>
      <w:bCs/>
      <w:color w:val="auto"/>
      <w:sz w:val="36"/>
      <w:szCs w:val="36"/>
      <w:lang w:val="en-US" w:bidi="ar-SA"/>
    </w:rPr>
  </w:style>
  <w:style w:type="paragraph" w:customStyle="1" w:styleId="Bodytext30">
    <w:name w:val="Body text|3"/>
    <w:basedOn w:val="Normal"/>
    <w:link w:val="Bodytext3"/>
    <w:rsid w:val="00210EBE"/>
    <w:pPr>
      <w:shd w:val="clear" w:color="auto" w:fill="FFFFFF"/>
      <w:spacing w:before="1260" w:line="269" w:lineRule="exact"/>
      <w:jc w:val="both"/>
    </w:pPr>
    <w:rPr>
      <w:b/>
      <w:bCs/>
      <w:color w:val="auto"/>
      <w:sz w:val="22"/>
      <w:szCs w:val="22"/>
      <w:lang w:val="en-US" w:bidi="ar-SA"/>
    </w:rPr>
  </w:style>
  <w:style w:type="paragraph" w:customStyle="1" w:styleId="Bodytext40">
    <w:name w:val="Body text|4"/>
    <w:basedOn w:val="Normal"/>
    <w:link w:val="Bodytext4"/>
    <w:rsid w:val="00210EBE"/>
    <w:pPr>
      <w:shd w:val="clear" w:color="auto" w:fill="FFFFFF"/>
      <w:spacing w:before="400" w:line="206" w:lineRule="exact"/>
    </w:pPr>
    <w:rPr>
      <w:rFonts w:ascii="Arial" w:eastAsia="Arial" w:hAnsi="Arial" w:cs="Arial"/>
      <w:i/>
      <w:iCs/>
      <w:color w:val="auto"/>
      <w:sz w:val="18"/>
      <w:szCs w:val="18"/>
      <w:lang w:val="en-US" w:bidi="ar-SA"/>
    </w:rPr>
  </w:style>
  <w:style w:type="paragraph" w:customStyle="1" w:styleId="Bodytext50">
    <w:name w:val="Body text|5"/>
    <w:basedOn w:val="Normal"/>
    <w:link w:val="Bodytext5"/>
    <w:rsid w:val="00210EBE"/>
    <w:pPr>
      <w:shd w:val="clear" w:color="auto" w:fill="FFFFFF"/>
      <w:spacing w:before="120" w:after="120" w:line="244" w:lineRule="exact"/>
    </w:pPr>
    <w:rPr>
      <w:b/>
      <w:bCs/>
      <w:color w:val="auto"/>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CTJJHAUHWN5E-644613129-1970</_dlc_DocId>
    <_dlc_DocIdUrl xmlns="bfc960a6-20da-4c94-8684-71380fca093b">
      <Url>http://dm2016/eesc/2019/_layouts/15/DocIdRedir.aspx?ID=CTJJHAUHWN5E-644613129-1970</Url>
      <Description>CTJJHAUHWN5E-644613129-1970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56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Props1.xml><?xml version="1.0" encoding="utf-8"?>
<ds:datastoreItem xmlns:ds="http://schemas.openxmlformats.org/officeDocument/2006/customXml" ds:itemID="{AA72891F-BF80-4EE2-B2CF-4E2AA470628C}"/>
</file>

<file path=customXml/itemProps2.xml><?xml version="1.0" encoding="utf-8"?>
<ds:datastoreItem xmlns:ds="http://schemas.openxmlformats.org/officeDocument/2006/customXml" ds:itemID="{BBC9A65D-210F-4461-A71A-B7FB1A3FA8BD}"/>
</file>

<file path=customXml/itemProps3.xml><?xml version="1.0" encoding="utf-8"?>
<ds:datastoreItem xmlns:ds="http://schemas.openxmlformats.org/officeDocument/2006/customXml" ds:itemID="{D85F06B8-5E86-47E2-9AC4-055D5FAFFEA3}"/>
</file>

<file path=customXml/itemProps4.xml><?xml version="1.0" encoding="utf-8"?>
<ds:datastoreItem xmlns:ds="http://schemas.openxmlformats.org/officeDocument/2006/customXml" ds:itemID="{7849D25A-1AD1-44BF-80BD-41C3E2EF9F00}"/>
</file>

<file path=docProps/app.xml><?xml version="1.0" encoding="utf-8"?>
<Properties xmlns="http://schemas.openxmlformats.org/officeDocument/2006/extended-properties" xmlns:vt="http://schemas.openxmlformats.org/officeDocument/2006/docPropsVTypes">
  <Template>Styles.dotm</Template>
  <TotalTime>4</TotalTime>
  <Pages>2</Pages>
  <Words>1125</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 - IV. skupina - Zemljišča, kmetijstvo in gozdarstvo</dc:title>
  <dc:creator>Borut Sinko</dc:creator>
  <cp:keywords>EESC-2019-05163-03-00-INFO-TRA-EN</cp:keywords>
  <dc:description>Rapporteur:  - Original language: EN - Date of document: 06/12/2019 - Date of meeting:  - External documents:  - Administrator: MME LAHOUSSE Chloé</dc:description>
  <cp:lastModifiedBy>Borut Sinko</cp:lastModifiedBy>
  <cp:revision>3</cp:revision>
  <dcterms:created xsi:type="dcterms:W3CDTF">2019-12-06T09:45:00Z</dcterms:created>
  <dcterms:modified xsi:type="dcterms:W3CDTF">2019-12-06T09:50:00Z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fc26b91e-632f-4148-8bcc-7152b5e7ab6c</vt:lpwstr>
  </property>
  <property fmtid="{D5CDD505-2E9C-101B-9397-08002B2CF9AE}" pid="4"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11386</vt:i4>
  </property>
  <property fmtid="{D5CDD505-2E9C-101B-9397-08002B2CF9AE}" pid="13" name="DocumentStatus">
    <vt:lpwstr>2;#TRA|150d2a88-1431-44e6-a8ca-0bb753ab8672</vt:lpwstr>
  </property>
  <property fmtid="{D5CDD505-2E9C-101B-9397-08002B2CF9AE}" pid="14" name="DocumentPart">
    <vt:i4>3</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K|34ce48bb-063e-4413-a932-50853dc71c5c;SR|7f3a1d13-b985-4bfd-981e-afe31377edff;IT|0774613c-01ed-4e5d-a25d-11d2388de825;TR|6e4ededd-04c4-4fa0-94e0-1028050302d5;EN|f2175f21-25d7-44a3-96da-d6a61b075e1b;ES|e7a6b05b-ae16-40c8-add9-68b64b03aeba;ME|925b3da5-5ac0-4b3c-928c-6ef66a5c9b3c;SQ|5ac17240-8d11-45ec-9893-659b209d7a00</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7;#Final|ea5e6674-7b27-4bac-b091-73adbb394efe;#246;#ME|925b3da5-5ac0-4b3c-928c-6ef66a5c9b3c;#21;#IT|0774613c-01ed-4e5d-a25d-11d2388de825;#152;#MK|34ce48bb-063e-4413-a932-50853dc71c5c;#17;#ES|e7a6b05b-ae16-40c8-add9-68b64b03aeba;#162;#TR|6e4ededd-04c4-4fa0-94e0-1028050302d5;#11;#INFO|d9136e7c-93a9-4c42-9d28-92b61e85f80c;#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ies>
</file>